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4D3D9FF2" w:rsidR="00FC73F2" w:rsidRDefault="008D5A49">
      <w:r>
        <w:t>Dear</w:t>
      </w:r>
      <w:r w:rsidR="002E10A2">
        <w:t xml:space="preserve"> </w:t>
      </w:r>
      <w:r w:rsidR="0023552A">
        <w:t>Silver Firs</w:t>
      </w:r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have the opportunity to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08B6431E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23552A">
        <w:rPr>
          <w:rFonts w:cstheme="minorHAnsi"/>
        </w:rPr>
        <w:t>Silver Firs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0E1C8CBE" w14:textId="77777777" w:rsidR="0023552A" w:rsidRDefault="0023552A" w:rsidP="0023552A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78501768" w14:textId="77777777" w:rsidR="0023552A" w:rsidRDefault="0023552A" w:rsidP="0023552A">
      <w:pPr>
        <w:pStyle w:val="ListParagraph"/>
        <w:numPr>
          <w:ilvl w:val="0"/>
          <w:numId w:val="9"/>
        </w:numPr>
      </w:pPr>
      <w:r>
        <w:t>Upgrade the fire alarm system</w:t>
      </w:r>
    </w:p>
    <w:p w14:paraId="339EEE70" w14:textId="77777777" w:rsidR="0023552A" w:rsidRDefault="0023552A" w:rsidP="0023552A">
      <w:pPr>
        <w:pStyle w:val="ListParagraph"/>
        <w:numPr>
          <w:ilvl w:val="0"/>
          <w:numId w:val="9"/>
        </w:numPr>
      </w:pPr>
      <w:r>
        <w:t>Replace flooring</w:t>
      </w:r>
    </w:p>
    <w:p w14:paraId="732E09B0" w14:textId="38C69815" w:rsidR="0023552A" w:rsidRDefault="0023552A" w:rsidP="0023552A">
      <w:pPr>
        <w:pStyle w:val="ListParagraph"/>
        <w:numPr>
          <w:ilvl w:val="0"/>
          <w:numId w:val="9"/>
        </w:numPr>
      </w:pPr>
      <w:r>
        <w:t xml:space="preserve">Replace </w:t>
      </w:r>
      <w:r w:rsidR="003718B4">
        <w:t>roof at the covered play area</w:t>
      </w:r>
    </w:p>
    <w:p w14:paraId="48369E52" w14:textId="77777777" w:rsidR="0023552A" w:rsidRDefault="0023552A" w:rsidP="0023552A">
      <w:pPr>
        <w:pStyle w:val="ListParagraph"/>
        <w:numPr>
          <w:ilvl w:val="0"/>
          <w:numId w:val="9"/>
        </w:numPr>
      </w:pPr>
      <w:r>
        <w:t>Upgrade the HVAC controls system</w:t>
      </w:r>
    </w:p>
    <w:p w14:paraId="72649384" w14:textId="77777777" w:rsidR="0023552A" w:rsidRDefault="0023552A" w:rsidP="0023552A">
      <w:pPr>
        <w:pStyle w:val="ListParagraph"/>
        <w:numPr>
          <w:ilvl w:val="0"/>
          <w:numId w:val="9"/>
        </w:numPr>
      </w:pPr>
      <w:r>
        <w:t xml:space="preserve">Roof replacement at the covered play </w:t>
      </w:r>
    </w:p>
    <w:p w14:paraId="177C2618" w14:textId="77777777" w:rsidR="0023552A" w:rsidRDefault="0023552A" w:rsidP="0023552A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lastRenderedPageBreak/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3552A"/>
    <w:rsid w:val="002425E7"/>
    <w:rsid w:val="002E10A2"/>
    <w:rsid w:val="003718B4"/>
    <w:rsid w:val="00383789"/>
    <w:rsid w:val="003A7B38"/>
    <w:rsid w:val="00441E9B"/>
    <w:rsid w:val="00483345"/>
    <w:rsid w:val="0049117C"/>
    <w:rsid w:val="005537DE"/>
    <w:rsid w:val="005759B5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20219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523F4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3</cp:revision>
  <dcterms:created xsi:type="dcterms:W3CDTF">2021-12-09T22:24:00Z</dcterms:created>
  <dcterms:modified xsi:type="dcterms:W3CDTF">2021-12-10T19:13:00Z</dcterms:modified>
</cp:coreProperties>
</file>